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B989D" w14:textId="301566E1" w:rsidR="00BB2954" w:rsidRDefault="00411B1C">
      <w:r>
        <w:t xml:space="preserve">CPUC Comments on </w:t>
      </w:r>
      <w:r w:rsidR="00876653">
        <w:t>SW</w:t>
      </w:r>
      <w:r w:rsidR="009E600D">
        <w:t>PR</w:t>
      </w:r>
      <w:r w:rsidR="00876653">
        <w:t>00</w:t>
      </w:r>
      <w:r w:rsidR="009E600D">
        <w:t>2</w:t>
      </w:r>
      <w:r w:rsidR="00876653">
        <w:t xml:space="preserve">-02 </w:t>
      </w:r>
      <w:r w:rsidR="009E600D">
        <w:t>VFD Glycol</w:t>
      </w:r>
      <w:r w:rsidR="00C76F25">
        <w:t xml:space="preserve"> Pump</w:t>
      </w:r>
    </w:p>
    <w:p w14:paraId="2BA7A164" w14:textId="3A79FC4B" w:rsidR="004266C0" w:rsidRDefault="004266C0">
      <w:r>
        <w:t xml:space="preserve">Lead PA: </w:t>
      </w:r>
      <w:r w:rsidR="007E7AC7" w:rsidRPr="007364AA">
        <w:t>PGE</w:t>
      </w:r>
    </w:p>
    <w:p w14:paraId="4BB68C7D" w14:textId="4B0573B2" w:rsidR="009E1581" w:rsidRDefault="004266C0">
      <w:r>
        <w:t xml:space="preserve">Workpaper </w:t>
      </w:r>
      <w:r w:rsidR="008F1FF0">
        <w:t xml:space="preserve">Submittal Date: </w:t>
      </w:r>
      <w:r w:rsidR="00C503E8">
        <w:t>12/2</w:t>
      </w:r>
      <w:r w:rsidR="008C45AC">
        <w:t>1</w:t>
      </w:r>
      <w:r w:rsidR="00C503E8">
        <w:t>/202</w:t>
      </w:r>
      <w:r w:rsidR="008C45AC">
        <w:t>0</w:t>
      </w:r>
    </w:p>
    <w:p w14:paraId="06E32D11" w14:textId="3B6D35C8" w:rsidR="004266C0" w:rsidRDefault="004266C0">
      <w:r>
        <w:t xml:space="preserve">CPUC Review Date: </w:t>
      </w:r>
      <w:r w:rsidR="00BF3851">
        <w:t>2/</w:t>
      </w:r>
      <w:r w:rsidR="009E600D">
        <w:t>10</w:t>
      </w:r>
      <w:r w:rsidR="00BF3851">
        <w:t>/2021</w:t>
      </w:r>
    </w:p>
    <w:p w14:paraId="4C9BCC9B" w14:textId="77777777" w:rsidR="00EB34B5" w:rsidRDefault="00EB34B5" w:rsidP="00047FC1"/>
    <w:p w14:paraId="72C6D87B" w14:textId="75FD440F" w:rsidR="00047FC1" w:rsidRDefault="00047FC1" w:rsidP="00047FC1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 w:rsidR="008963E4">
        <w:t>the entire</w:t>
      </w:r>
      <w:r w:rsidR="009F4AAE">
        <w:t xml:space="preserve"> </w:t>
      </w:r>
      <w:r w:rsidR="008963E4">
        <w:t xml:space="preserve">package </w:t>
      </w:r>
      <w:r w:rsidRPr="00047FC1">
        <w:t xml:space="preserve">to </w:t>
      </w:r>
      <w:proofErr w:type="spellStart"/>
      <w:r w:rsidRPr="00047FC1">
        <w:t>t</w:t>
      </w:r>
      <w:r w:rsidR="00452A3F">
        <w:t xml:space="preserve"> </w:t>
      </w:r>
      <w:r w:rsidRPr="00047FC1">
        <w:t>he</w:t>
      </w:r>
      <w:proofErr w:type="spellEnd"/>
      <w:r w:rsidRPr="00047FC1">
        <w:t xml:space="preserve"> WPA. If needed, please reach out to </w:t>
      </w:r>
      <w:r w:rsidR="00F00D47">
        <w:t>Deemed Review T</w:t>
      </w:r>
      <w:r w:rsidRPr="00047FC1">
        <w:t>eam to set up a call to discuss.</w:t>
      </w:r>
    </w:p>
    <w:tbl>
      <w:tblPr>
        <w:tblStyle w:val="TableGrid"/>
        <w:tblpPr w:leftFromText="180" w:rightFromText="180" w:vertAnchor="page" w:horzAnchor="margin" w:tblpY="5056"/>
        <w:tblW w:w="9715" w:type="dxa"/>
        <w:tblLayout w:type="fixed"/>
        <w:tblLook w:val="04A0" w:firstRow="1" w:lastRow="0" w:firstColumn="1" w:lastColumn="0" w:noHBand="0" w:noVBand="1"/>
      </w:tblPr>
      <w:tblGrid>
        <w:gridCol w:w="5305"/>
        <w:gridCol w:w="4410"/>
      </w:tblGrid>
      <w:tr w:rsidR="009F4AAE" w14:paraId="2E8B018A" w14:textId="77777777" w:rsidTr="00926DD7">
        <w:tc>
          <w:tcPr>
            <w:tcW w:w="5305" w:type="dxa"/>
          </w:tcPr>
          <w:p w14:paraId="7F38C102" w14:textId="77777777" w:rsidR="009F4AAE" w:rsidRDefault="009F4AAE" w:rsidP="009F4AAE">
            <w:r>
              <w:t>CPUC Comment</w:t>
            </w:r>
          </w:p>
        </w:tc>
        <w:tc>
          <w:tcPr>
            <w:tcW w:w="4410" w:type="dxa"/>
          </w:tcPr>
          <w:p w14:paraId="3F515732" w14:textId="77777777" w:rsidR="009F4AAE" w:rsidRDefault="009F4AAE" w:rsidP="009F4AAE">
            <w:r>
              <w:t>PA Response</w:t>
            </w:r>
          </w:p>
        </w:tc>
      </w:tr>
      <w:tr w:rsidR="00FF33DC" w14:paraId="6FA413A3" w14:textId="77777777" w:rsidTr="00926DD7">
        <w:tc>
          <w:tcPr>
            <w:tcW w:w="5305" w:type="dxa"/>
          </w:tcPr>
          <w:p w14:paraId="6E951F78" w14:textId="780DDBDD" w:rsidR="00FF33DC" w:rsidRDefault="00FF33DC" w:rsidP="00FF33DC">
            <w:r>
              <w:t>CPUC reviewers note that the assumed annual operating hours (</w:t>
            </w:r>
            <w:r w:rsidR="009E600D">
              <w:t>8</w:t>
            </w:r>
            <w:r>
              <w:t>,</w:t>
            </w:r>
            <w:r w:rsidR="009E600D">
              <w:t>413</w:t>
            </w:r>
            <w:r>
              <w:t xml:space="preserve">) is based on </w:t>
            </w:r>
            <w:r w:rsidR="009E600D">
              <w:t>2009 glycol pump data</w:t>
            </w:r>
            <w:r>
              <w:t xml:space="preserve">, as shown on page 8 of the workpaper.  </w:t>
            </w:r>
            <w:r w:rsidR="009E600D">
              <w:t xml:space="preserve">We can also view the individual project values in the measure specific constants tab of the </w:t>
            </w:r>
            <w:proofErr w:type="spellStart"/>
            <w:r w:rsidR="009E600D">
              <w:t>MeasureDataSpec</w:t>
            </w:r>
            <w:proofErr w:type="spellEnd"/>
            <w:r w:rsidR="009E600D">
              <w:t xml:space="preserve"> spreadsheet.  Here we can see that the average of 8,413 is based on any values greater than 8,000 hours, with the values for 4 of the pumps being excluded from this mean.  Please justify this exclusion.</w:t>
            </w:r>
          </w:p>
          <w:p w14:paraId="69E522C5" w14:textId="77777777" w:rsidR="00FF33DC" w:rsidRDefault="00FF33DC" w:rsidP="00FF33DC"/>
          <w:p w14:paraId="1673DA3A" w14:textId="62C22E6D" w:rsidR="00FF33DC" w:rsidRDefault="009E600D" w:rsidP="00FF33DC">
            <w:r>
              <w:t>Furthermore, CPUC reviewers note that this implies the motors run almost constantly throughout the year.  Reviewers are unfamiliar with the normal operation of glycol pumps in a winery refrigeration application and request further justification for the workpaper-based annual hours of operation applied.</w:t>
            </w:r>
          </w:p>
        </w:tc>
        <w:tc>
          <w:tcPr>
            <w:tcW w:w="4410" w:type="dxa"/>
          </w:tcPr>
          <w:p w14:paraId="218A73F5" w14:textId="66E4475C" w:rsidR="00FF33DC" w:rsidRDefault="00675D44" w:rsidP="00FF33DC">
            <w:r>
              <w:t xml:space="preserve">Commercial wineries used </w:t>
            </w:r>
            <w:r w:rsidR="00A75FE4">
              <w:t xml:space="preserve">glycol for cooling </w:t>
            </w:r>
            <w:r w:rsidR="001D43FE">
              <w:t>during the fermentation (this is during cras</w:t>
            </w:r>
            <w:r w:rsidR="008B56E8">
              <w:t>h</w:t>
            </w:r>
            <w:r w:rsidR="001D43FE">
              <w:t>ing</w:t>
            </w:r>
            <w:r w:rsidR="00A6493C">
              <w:t xml:space="preserve"> season</w:t>
            </w:r>
            <w:r w:rsidR="001D43FE">
              <w:t>)</w:t>
            </w:r>
            <w:r w:rsidR="00B76723">
              <w:t>,</w:t>
            </w:r>
            <w:r w:rsidR="001D43FE">
              <w:t xml:space="preserve"> for </w:t>
            </w:r>
            <w:r w:rsidR="00632DC8">
              <w:t xml:space="preserve">wine </w:t>
            </w:r>
            <w:r w:rsidR="001D43FE">
              <w:t xml:space="preserve">aging </w:t>
            </w:r>
            <w:r w:rsidR="008B56E8">
              <w:t>in stainless steel tanks (</w:t>
            </w:r>
            <w:r w:rsidR="00632DC8">
              <w:t>not</w:t>
            </w:r>
            <w:r w:rsidR="008B56E8">
              <w:t xml:space="preserve"> all wine</w:t>
            </w:r>
            <w:r w:rsidR="00A6493C">
              <w:t>s</w:t>
            </w:r>
            <w:r w:rsidR="008B56E8">
              <w:t xml:space="preserve"> go through the classic oak barrel)</w:t>
            </w:r>
            <w:r w:rsidR="00A6493C">
              <w:t xml:space="preserve"> throughout the </w:t>
            </w:r>
            <w:r w:rsidR="001A47FE" w:rsidRPr="001A47FE">
              <w:t xml:space="preserve"> </w:t>
            </w:r>
            <w:r w:rsidR="001A47FE">
              <w:t xml:space="preserve">whole </w:t>
            </w:r>
            <w:r w:rsidR="00230BB9">
              <w:t>year,</w:t>
            </w:r>
            <w:r w:rsidR="00CF5DE5">
              <w:t xml:space="preserve"> for</w:t>
            </w:r>
            <w:r w:rsidR="00B76723">
              <w:t xml:space="preserve"> air conditioning, and </w:t>
            </w:r>
            <w:r w:rsidR="000714CD">
              <w:t xml:space="preserve">for </w:t>
            </w:r>
            <w:r w:rsidR="00B76723">
              <w:t xml:space="preserve">other processes.  </w:t>
            </w:r>
            <w:r w:rsidR="00EA59D9">
              <w:t>Therefore,</w:t>
            </w:r>
            <w:r w:rsidR="00CF5DE5">
              <w:t xml:space="preserve"> the glycol pump and the cooling equipment (chiller)</w:t>
            </w:r>
            <w:r w:rsidR="00844D2E">
              <w:t xml:space="preserve"> must run almost 24/7/365.</w:t>
            </w:r>
            <w:r w:rsidR="00835C6D">
              <w:t xml:space="preserve">  </w:t>
            </w:r>
            <w:r w:rsidR="009B51D6">
              <w:t xml:space="preserve">A </w:t>
            </w:r>
            <w:r w:rsidR="00AF357B">
              <w:t xml:space="preserve">survey of </w:t>
            </w:r>
            <w:r w:rsidR="00826BBC">
              <w:t xml:space="preserve">wine tanks </w:t>
            </w:r>
            <w:r w:rsidR="009B51D6">
              <w:t xml:space="preserve">was conducted and </w:t>
            </w:r>
            <w:r w:rsidR="00826BBC">
              <w:t xml:space="preserve">is </w:t>
            </w:r>
            <w:r w:rsidR="00CB0D4B">
              <w:t>shown on Exhibit A</w:t>
            </w:r>
            <w:r w:rsidR="009B51D6">
              <w:t>, the</w:t>
            </w:r>
            <w:r w:rsidR="0081529C">
              <w:t xml:space="preserve"> results indicate that &gt;50% of the tanks are full/partially full </w:t>
            </w:r>
            <w:r w:rsidR="00E8064F">
              <w:t>all year</w:t>
            </w:r>
            <w:r w:rsidR="00720F29">
              <w:t xml:space="preserve"> long</w:t>
            </w:r>
            <w:r w:rsidR="00E8064F">
              <w:t>.</w:t>
            </w:r>
          </w:p>
          <w:p w14:paraId="0DC5E0ED" w14:textId="77777777" w:rsidR="005243CE" w:rsidRDefault="005243CE" w:rsidP="00FF33DC"/>
          <w:p w14:paraId="7587A3CE" w14:textId="2BAA4039" w:rsidR="00230BB9" w:rsidRDefault="00890AE7" w:rsidP="00FF33DC">
            <w:r>
              <w:t>As for t</w:t>
            </w:r>
            <w:r w:rsidR="00230BB9">
              <w:t xml:space="preserve">he four </w:t>
            </w:r>
            <w:r w:rsidR="00F449C8">
              <w:t>values excluded</w:t>
            </w:r>
            <w:r w:rsidR="002A3CF3">
              <w:t xml:space="preserve"> from the runtime calculations; </w:t>
            </w:r>
            <w:r w:rsidR="00F449C8">
              <w:t xml:space="preserve"> </w:t>
            </w:r>
            <w:r w:rsidR="002F279A">
              <w:t xml:space="preserve">they </w:t>
            </w:r>
            <w:r w:rsidR="00F449C8">
              <w:t xml:space="preserve">are from </w:t>
            </w:r>
            <w:r w:rsidR="00D241A1">
              <w:t xml:space="preserve">the same </w:t>
            </w:r>
            <w:r w:rsidR="00F522BB">
              <w:t>participant</w:t>
            </w:r>
            <w:r w:rsidR="0011763A">
              <w:t>s</w:t>
            </w:r>
            <w:r w:rsidR="00D241A1">
              <w:t xml:space="preserve"> as seen in </w:t>
            </w:r>
            <w:r w:rsidR="00AF5547">
              <w:t>Exhibit B</w:t>
            </w:r>
            <w:r w:rsidR="005E4B73">
              <w:t xml:space="preserve">; </w:t>
            </w:r>
            <w:r w:rsidR="00C92270">
              <w:t xml:space="preserve">the </w:t>
            </w:r>
            <w:r w:rsidR="005D46D9">
              <w:t>lower</w:t>
            </w:r>
            <w:r w:rsidR="00C92270">
              <w:t xml:space="preserve"> value </w:t>
            </w:r>
            <w:r w:rsidR="00CE6CBD">
              <w:t>seems to be a misread</w:t>
            </w:r>
            <w:r w:rsidR="00E42A38">
              <w:t xml:space="preserve">, since it refer to the same pump </w:t>
            </w:r>
            <w:r w:rsidR="00DD613F">
              <w:t>size</w:t>
            </w:r>
            <w:r w:rsidR="00E14E3E">
              <w:t>, and</w:t>
            </w:r>
            <w:r w:rsidR="000C6B49" w:rsidRPr="000C6B49">
              <w:t xml:space="preserve"> </w:t>
            </w:r>
            <w:r w:rsidR="000C6B49">
              <w:t xml:space="preserve">consequently </w:t>
            </w:r>
            <w:r w:rsidR="00E14E3E">
              <w:t xml:space="preserve">, was not included in the </w:t>
            </w:r>
            <w:r w:rsidR="000C6B49">
              <w:t>overall average.</w:t>
            </w:r>
          </w:p>
        </w:tc>
      </w:tr>
      <w:tr w:rsidR="00043F42" w14:paraId="44BFA83E" w14:textId="77777777" w:rsidTr="00926DD7">
        <w:tc>
          <w:tcPr>
            <w:tcW w:w="5305" w:type="dxa"/>
          </w:tcPr>
          <w:p w14:paraId="6F043B48" w14:textId="22401897" w:rsidR="009800F6" w:rsidRDefault="00BF3851" w:rsidP="009D6550">
            <w:r>
              <w:t xml:space="preserve">CPUC reviewers note that </w:t>
            </w:r>
            <w:r w:rsidR="00DE0250">
              <w:t xml:space="preserve">this VFD add-on measure is eligible for installation on existing glycol pumps.  For pumps </w:t>
            </w:r>
            <w:r w:rsidR="00FF33DC">
              <w:t xml:space="preserve">the assumed pump motor EUL </w:t>
            </w:r>
            <w:r w:rsidR="00671557">
              <w:t>is</w:t>
            </w:r>
            <w:r w:rsidR="00FF33DC">
              <w:t xml:space="preserve"> 15 years, based on a </w:t>
            </w:r>
            <w:r w:rsidR="00DE0250">
              <w:t>DEER-READI</w:t>
            </w:r>
            <w:r w:rsidR="00FF33DC">
              <w:t xml:space="preserve"> source; refer to page 1</w:t>
            </w:r>
            <w:r w:rsidR="00DE0250">
              <w:t>1</w:t>
            </w:r>
            <w:r w:rsidR="00FF33DC">
              <w:t xml:space="preserve"> of the workpaper</w:t>
            </w:r>
            <w:r w:rsidR="009800F6">
              <w:t>.</w:t>
            </w:r>
            <w:r w:rsidR="00FF33DC">
              <w:t xml:space="preserve">  It is notable that for retrofit application</w:t>
            </w:r>
            <w:r w:rsidR="00410CB1">
              <w:t>s</w:t>
            </w:r>
            <w:r w:rsidR="00FF33DC">
              <w:t xml:space="preserve"> this value governs the EUL of the VFD, based on an assumed RUL of the pump motor, resulting in a 5</w:t>
            </w:r>
            <w:r w:rsidR="0019084C">
              <w:t>-</w:t>
            </w:r>
            <w:r w:rsidR="00FF33DC">
              <w:t xml:space="preserve">year EUL for </w:t>
            </w:r>
            <w:r w:rsidR="00671557">
              <w:t>retrofit</w:t>
            </w:r>
            <w:r w:rsidR="00FF33DC">
              <w:t xml:space="preserve"> VFD installation</w:t>
            </w:r>
            <w:r w:rsidR="0019084C">
              <w:t>s</w:t>
            </w:r>
            <w:r w:rsidR="00FF33DC">
              <w:t xml:space="preserve">.  However, this value of 15 years is </w:t>
            </w:r>
            <w:r w:rsidR="00DE0250">
              <w:t>associated with an HVAC pump application; refer again to page 11 of the workpaper</w:t>
            </w:r>
            <w:r w:rsidR="0019084C">
              <w:t>.</w:t>
            </w:r>
            <w:r w:rsidR="00DE0250">
              <w:t xml:space="preserve">  It is unclear if a</w:t>
            </w:r>
            <w:r w:rsidR="00410CB1">
              <w:t>n</w:t>
            </w:r>
            <w:r w:rsidR="00DE0250">
              <w:t xml:space="preserve"> HVAC pump would be expected to run for annual hours of operation that are similar to the glycol pump assumption, which might have implications for the life of a glycol pump relative to an HVAC pump.  Please take </w:t>
            </w:r>
            <w:r w:rsidR="00DE0250">
              <w:lastRenderedPageBreak/>
              <w:t>this under consideration by checking sources for EUL</w:t>
            </w:r>
            <w:r w:rsidR="00410CB1">
              <w:t>s</w:t>
            </w:r>
            <w:r w:rsidR="00DE0250">
              <w:t xml:space="preserve"> from more relevant </w:t>
            </w:r>
            <w:r w:rsidR="00410CB1">
              <w:t>pumping applications.</w:t>
            </w:r>
          </w:p>
        </w:tc>
        <w:tc>
          <w:tcPr>
            <w:tcW w:w="4410" w:type="dxa"/>
          </w:tcPr>
          <w:p w14:paraId="66F1C0A3" w14:textId="77777777" w:rsidR="0030770A" w:rsidRDefault="007F54D4" w:rsidP="009F4AAE">
            <w:r>
              <w:lastRenderedPageBreak/>
              <w:t>PG&amp;E following CPUC recommendation</w:t>
            </w:r>
            <w:r w:rsidR="00DA509C">
              <w:t>s</w:t>
            </w:r>
            <w:r>
              <w:t xml:space="preserve"> review</w:t>
            </w:r>
            <w:r w:rsidR="00AD3BFB">
              <w:t>ed</w:t>
            </w:r>
            <w:r>
              <w:t xml:space="preserve"> other pump’s EUL</w:t>
            </w:r>
            <w:r w:rsidR="00AA4240">
              <w:t>s</w:t>
            </w:r>
            <w:r w:rsidR="00995033">
              <w:t xml:space="preserve"> </w:t>
            </w:r>
            <w:r w:rsidR="00DA509C">
              <w:t>i</w:t>
            </w:r>
            <w:r w:rsidR="00995033">
              <w:t>n DEER</w:t>
            </w:r>
            <w:r w:rsidR="00DA509C">
              <w:t xml:space="preserve"> database</w:t>
            </w:r>
            <w:r w:rsidR="00AA4240">
              <w:t>; a gly</w:t>
            </w:r>
            <w:r w:rsidR="00995033">
              <w:t xml:space="preserve">col pump operation is similar to those found on </w:t>
            </w:r>
            <w:r w:rsidR="00C705B7">
              <w:t xml:space="preserve">buildings HVAC systems, </w:t>
            </w:r>
            <w:r w:rsidR="00A6013E">
              <w:t xml:space="preserve">where they are used to </w:t>
            </w:r>
            <w:r w:rsidR="00E35636">
              <w:t xml:space="preserve">recirculate glycol through the chiller and cooling coils.  </w:t>
            </w:r>
          </w:p>
          <w:p w14:paraId="1287A9A9" w14:textId="77777777" w:rsidR="0030770A" w:rsidRDefault="0030770A" w:rsidP="009F4AAE"/>
          <w:p w14:paraId="20B3BDE5" w14:textId="6378209A" w:rsidR="005C0BA3" w:rsidRDefault="00123193" w:rsidP="009F4AAE">
            <w:r>
              <w:t>Other EULs found on DEER for the Ag sector include</w:t>
            </w:r>
            <w:r w:rsidR="005C0BA3">
              <w:t>:</w:t>
            </w:r>
            <w:r w:rsidR="00452A3F">
              <w:t xml:space="preserve"> </w:t>
            </w:r>
          </w:p>
          <w:tbl>
            <w:tblPr>
              <w:tblW w:w="3280" w:type="dxa"/>
              <w:tblLayout w:type="fixed"/>
              <w:tblLook w:val="04A0" w:firstRow="1" w:lastRow="0" w:firstColumn="1" w:lastColumn="0" w:noHBand="0" w:noVBand="1"/>
            </w:tblPr>
            <w:tblGrid>
              <w:gridCol w:w="3280"/>
            </w:tblGrid>
            <w:tr w:rsidR="005C0BA3" w:rsidRPr="005C0BA3" w14:paraId="589AE95F" w14:textId="77777777" w:rsidTr="005C0BA3">
              <w:trPr>
                <w:trHeight w:val="300"/>
              </w:trPr>
              <w:tc>
                <w:tcPr>
                  <w:tcW w:w="3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88AE7E" w14:textId="77777777" w:rsidR="005C0BA3" w:rsidRPr="005C0BA3" w:rsidRDefault="005C0BA3" w:rsidP="0011763A">
                  <w:pPr>
                    <w:framePr w:hSpace="180" w:wrap="around" w:vAnchor="page" w:hAnchor="margin" w:y="5056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5C0BA3">
                    <w:rPr>
                      <w:rFonts w:ascii="Calibri" w:eastAsia="Times New Roman" w:hAnsi="Calibri" w:cs="Calibri"/>
                      <w:color w:val="000000"/>
                    </w:rPr>
                    <w:t>Agr-VSDmilkTrnsfr</w:t>
                  </w:r>
                  <w:proofErr w:type="spellEnd"/>
                </w:p>
              </w:tc>
            </w:tr>
            <w:tr w:rsidR="005C0BA3" w:rsidRPr="005C0BA3" w14:paraId="3EBEAA2C" w14:textId="77777777" w:rsidTr="005C0BA3">
              <w:trPr>
                <w:trHeight w:val="300"/>
              </w:trPr>
              <w:tc>
                <w:tcPr>
                  <w:tcW w:w="3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F7B3EF" w14:textId="77777777" w:rsidR="005C0BA3" w:rsidRPr="005C0BA3" w:rsidRDefault="005C0BA3" w:rsidP="0011763A">
                  <w:pPr>
                    <w:framePr w:hSpace="180" w:wrap="around" w:vAnchor="page" w:hAnchor="margin" w:y="5056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5C0BA3">
                    <w:rPr>
                      <w:rFonts w:ascii="Calibri" w:eastAsia="Times New Roman" w:hAnsi="Calibri" w:cs="Calibri"/>
                      <w:color w:val="000000"/>
                    </w:rPr>
                    <w:t>Agr-VSDmilkVcm</w:t>
                  </w:r>
                  <w:proofErr w:type="spellEnd"/>
                </w:p>
              </w:tc>
            </w:tr>
          </w:tbl>
          <w:p w14:paraId="3BF02F11" w14:textId="77777777" w:rsidR="00043F42" w:rsidRDefault="006918AA" w:rsidP="009F4AAE">
            <w:r>
              <w:t>These also feature a 15/5 years</w:t>
            </w:r>
            <w:r w:rsidR="0081584B">
              <w:t xml:space="preserve"> for EUL/RUL</w:t>
            </w:r>
            <w:r>
              <w:t xml:space="preserve">.  Well and booster pumps found in Ag </w:t>
            </w:r>
            <w:r w:rsidR="00792869">
              <w:t>irrigation systems are of a different application.</w:t>
            </w:r>
          </w:p>
          <w:p w14:paraId="2970BE64" w14:textId="77777777" w:rsidR="0081584B" w:rsidRDefault="0081584B" w:rsidP="009F4AAE"/>
          <w:p w14:paraId="106318EB" w14:textId="5973D279" w:rsidR="0081584B" w:rsidRDefault="0012157D" w:rsidP="009F4AAE">
            <w:r>
              <w:t>HVAC pumps for certain buildings such as hospitals</w:t>
            </w:r>
            <w:r w:rsidR="003C239B">
              <w:t xml:space="preserve">, data </w:t>
            </w:r>
            <w:r w:rsidR="00B24625">
              <w:t>centers, hotels</w:t>
            </w:r>
            <w:r w:rsidR="003C239B">
              <w:t>, etc. may actually match the runtime of a glycol pump</w:t>
            </w:r>
            <w:r w:rsidR="00775123">
              <w:t xml:space="preserve"> found in a wi</w:t>
            </w:r>
            <w:r w:rsidR="00BF1316">
              <w:t>n</w:t>
            </w:r>
            <w:r w:rsidR="00775123">
              <w:t>ery</w:t>
            </w:r>
            <w:r w:rsidR="00B24625">
              <w:t xml:space="preserve">, in fact those </w:t>
            </w:r>
            <w:r w:rsidR="00BF1316">
              <w:t>facilities</w:t>
            </w:r>
            <w:r w:rsidR="00B24625">
              <w:t xml:space="preserve"> may actually </w:t>
            </w:r>
            <w:r w:rsidR="00BF1316">
              <w:t>use</w:t>
            </w:r>
            <w:r w:rsidR="00B24625">
              <w:t xml:space="preserve"> same fluid</w:t>
            </w:r>
            <w:r w:rsidR="00BF1316">
              <w:t xml:space="preserve"> (glycol + water)</w:t>
            </w:r>
            <w:r w:rsidR="00B24625">
              <w:t xml:space="preserve"> in their chilled water circulation systems.</w:t>
            </w:r>
          </w:p>
        </w:tc>
      </w:tr>
      <w:tr w:rsidR="00F04FEF" w14:paraId="5C671D78" w14:textId="77777777" w:rsidTr="00926DD7">
        <w:tc>
          <w:tcPr>
            <w:tcW w:w="5305" w:type="dxa"/>
          </w:tcPr>
          <w:p w14:paraId="10446CFD" w14:textId="35B806C3" w:rsidR="00F04FEF" w:rsidRDefault="00F04FEF" w:rsidP="009F4AAE">
            <w:r>
              <w:lastRenderedPageBreak/>
              <w:t xml:space="preserve">CPUC reviewers note this workpaper does not document methods, inputs, and assumptions for estimating peak demand savings. If the utilities intend to claim peak </w:t>
            </w:r>
            <w:r w:rsidR="00385A6F">
              <w:t>savings,</w:t>
            </w:r>
            <w:r>
              <w:t xml:space="preserve"> then it should be documented in the workpaper submission.</w:t>
            </w:r>
          </w:p>
        </w:tc>
        <w:tc>
          <w:tcPr>
            <w:tcW w:w="4410" w:type="dxa"/>
          </w:tcPr>
          <w:p w14:paraId="2C15D3B2" w14:textId="695A2B28" w:rsidR="00F04FEF" w:rsidRDefault="00254B22" w:rsidP="009F4AAE">
            <w:r>
              <w:t xml:space="preserve">Glycol pumps typically run during peak hours (Please refer to Page #8 under </w:t>
            </w:r>
            <w:r w:rsidR="00E83791">
              <w:t xml:space="preserve">Peak Electrical Demand Reduction), therefore no </w:t>
            </w:r>
            <w:r w:rsidR="00385A6F">
              <w:t>peak demand savings will be claim under this measure</w:t>
            </w:r>
          </w:p>
        </w:tc>
      </w:tr>
    </w:tbl>
    <w:p w14:paraId="204BE0B4" w14:textId="77777777" w:rsidR="009F4AAE" w:rsidRDefault="009F4AAE" w:rsidP="00DD725C"/>
    <w:p w14:paraId="4F43934C" w14:textId="77777777" w:rsidR="00F44D84" w:rsidRDefault="00F44D84" w:rsidP="00047FC1">
      <w:pPr>
        <w:sectPr w:rsidR="00F44D8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E169ADC" w14:textId="3BB9D899" w:rsidR="00B86725" w:rsidRDefault="00F97B2A" w:rsidP="00815900">
      <w:pPr>
        <w:jc w:val="center"/>
      </w:pPr>
      <w:r>
        <w:lastRenderedPageBreak/>
        <w:t>EXHIBIT “A”</w:t>
      </w:r>
    </w:p>
    <w:p w14:paraId="4032C01E" w14:textId="77777777" w:rsidR="00815900" w:rsidRDefault="00815900" w:rsidP="00047FC1"/>
    <w:p w14:paraId="0ED2984B" w14:textId="502BEBD9" w:rsidR="00402564" w:rsidRDefault="00815900" w:rsidP="00047FC1">
      <w:r w:rsidRPr="00815900">
        <w:rPr>
          <w:noProof/>
        </w:rPr>
        <w:drawing>
          <wp:inline distT="0" distB="0" distL="0" distR="0" wp14:anchorId="770CE5B0" wp14:editId="6C579474">
            <wp:extent cx="9307115" cy="221474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8698" cy="2224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6725">
        <w:t xml:space="preserve"> </w:t>
      </w:r>
      <w:r w:rsidR="00402564">
        <w:br w:type="page"/>
      </w:r>
    </w:p>
    <w:p w14:paraId="73D85F50" w14:textId="0902F8A9" w:rsidR="00EB34B5" w:rsidRDefault="00D82E39" w:rsidP="00402564">
      <w:pPr>
        <w:jc w:val="center"/>
      </w:pPr>
      <w:r>
        <w:lastRenderedPageBreak/>
        <w:t>EXHIBIT “</w:t>
      </w:r>
      <w:r w:rsidR="00F97B2A">
        <w:t>B</w:t>
      </w:r>
      <w:r>
        <w:t>”</w:t>
      </w:r>
    </w:p>
    <w:p w14:paraId="30DE1487" w14:textId="6D9C3CA7" w:rsidR="00D82E39" w:rsidRDefault="006918DE" w:rsidP="00402564">
      <w:pPr>
        <w:jc w:val="center"/>
      </w:pPr>
      <w:r w:rsidRPr="006918DE">
        <w:rPr>
          <w:noProof/>
        </w:rPr>
        <w:drawing>
          <wp:inline distT="0" distB="0" distL="0" distR="0" wp14:anchorId="23C4A600" wp14:editId="79307A92">
            <wp:extent cx="7714123" cy="4815444"/>
            <wp:effectExtent l="0" t="0" r="127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5556" cy="4835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D0189" w14:textId="77777777" w:rsidR="00EB34B5" w:rsidRDefault="00EB34B5" w:rsidP="00047FC1"/>
    <w:sectPr w:rsidR="00EB34B5" w:rsidSect="00815900">
      <w:pgSz w:w="15840" w:h="12240" w:orient="landscape"/>
      <w:pgMar w:top="540" w:right="14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F75E50"/>
    <w:multiLevelType w:val="hybridMultilevel"/>
    <w:tmpl w:val="E3747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02626"/>
    <w:rsid w:val="00016F16"/>
    <w:rsid w:val="00031DD0"/>
    <w:rsid w:val="00043F42"/>
    <w:rsid w:val="00047FC1"/>
    <w:rsid w:val="00052C27"/>
    <w:rsid w:val="00066F2B"/>
    <w:rsid w:val="000714CD"/>
    <w:rsid w:val="0008408E"/>
    <w:rsid w:val="00091620"/>
    <w:rsid w:val="00096A19"/>
    <w:rsid w:val="000B7264"/>
    <w:rsid w:val="000C4A3F"/>
    <w:rsid w:val="000C6B49"/>
    <w:rsid w:val="000D4DCF"/>
    <w:rsid w:val="000E14C3"/>
    <w:rsid w:val="000F49F7"/>
    <w:rsid w:val="0011763A"/>
    <w:rsid w:val="0012157D"/>
    <w:rsid w:val="00123193"/>
    <w:rsid w:val="00131866"/>
    <w:rsid w:val="00182729"/>
    <w:rsid w:val="0019084C"/>
    <w:rsid w:val="00191224"/>
    <w:rsid w:val="001A47FE"/>
    <w:rsid w:val="001A6229"/>
    <w:rsid w:val="001B476B"/>
    <w:rsid w:val="001C4A8A"/>
    <w:rsid w:val="001D06E2"/>
    <w:rsid w:val="001D43FE"/>
    <w:rsid w:val="001D6866"/>
    <w:rsid w:val="001F0F3E"/>
    <w:rsid w:val="002013BD"/>
    <w:rsid w:val="0022220B"/>
    <w:rsid w:val="00225EAC"/>
    <w:rsid w:val="00230BB9"/>
    <w:rsid w:val="0024648E"/>
    <w:rsid w:val="00254B22"/>
    <w:rsid w:val="00262D8C"/>
    <w:rsid w:val="0029755A"/>
    <w:rsid w:val="002A3CF3"/>
    <w:rsid w:val="002A755F"/>
    <w:rsid w:val="002E05AF"/>
    <w:rsid w:val="002E0D8B"/>
    <w:rsid w:val="002E5EEC"/>
    <w:rsid w:val="002F279A"/>
    <w:rsid w:val="0030770A"/>
    <w:rsid w:val="00345167"/>
    <w:rsid w:val="00385A6F"/>
    <w:rsid w:val="003A142D"/>
    <w:rsid w:val="003C239B"/>
    <w:rsid w:val="003C73EE"/>
    <w:rsid w:val="003D5EDF"/>
    <w:rsid w:val="003E79B7"/>
    <w:rsid w:val="00402564"/>
    <w:rsid w:val="00410CB1"/>
    <w:rsid w:val="00411B1C"/>
    <w:rsid w:val="004266C0"/>
    <w:rsid w:val="0043434E"/>
    <w:rsid w:val="00452A3F"/>
    <w:rsid w:val="00465323"/>
    <w:rsid w:val="004D7E3A"/>
    <w:rsid w:val="004E7F9C"/>
    <w:rsid w:val="005243CE"/>
    <w:rsid w:val="00536F69"/>
    <w:rsid w:val="00547E33"/>
    <w:rsid w:val="0055180E"/>
    <w:rsid w:val="00556292"/>
    <w:rsid w:val="005764FF"/>
    <w:rsid w:val="0058766A"/>
    <w:rsid w:val="0059105C"/>
    <w:rsid w:val="005C0BA3"/>
    <w:rsid w:val="005D46D9"/>
    <w:rsid w:val="005E4B73"/>
    <w:rsid w:val="005E4C54"/>
    <w:rsid w:val="005E7C41"/>
    <w:rsid w:val="00620810"/>
    <w:rsid w:val="00632DC8"/>
    <w:rsid w:val="00671557"/>
    <w:rsid w:val="00675D44"/>
    <w:rsid w:val="00686B42"/>
    <w:rsid w:val="006918AA"/>
    <w:rsid w:val="006918DE"/>
    <w:rsid w:val="006D13D3"/>
    <w:rsid w:val="006D7354"/>
    <w:rsid w:val="006F56C1"/>
    <w:rsid w:val="00714C08"/>
    <w:rsid w:val="00720F29"/>
    <w:rsid w:val="007364AA"/>
    <w:rsid w:val="007450BD"/>
    <w:rsid w:val="007511EA"/>
    <w:rsid w:val="00765819"/>
    <w:rsid w:val="00775123"/>
    <w:rsid w:val="00784D2A"/>
    <w:rsid w:val="00791A22"/>
    <w:rsid w:val="00792869"/>
    <w:rsid w:val="00797275"/>
    <w:rsid w:val="007B352C"/>
    <w:rsid w:val="007B3BD7"/>
    <w:rsid w:val="007C70DD"/>
    <w:rsid w:val="007E5452"/>
    <w:rsid w:val="007E7AC7"/>
    <w:rsid w:val="007F54D4"/>
    <w:rsid w:val="008145FC"/>
    <w:rsid w:val="0081529C"/>
    <w:rsid w:val="0081584B"/>
    <w:rsid w:val="00815900"/>
    <w:rsid w:val="00826BBC"/>
    <w:rsid w:val="00835C6D"/>
    <w:rsid w:val="00836682"/>
    <w:rsid w:val="00844D2E"/>
    <w:rsid w:val="00852BEA"/>
    <w:rsid w:val="00863587"/>
    <w:rsid w:val="008720ED"/>
    <w:rsid w:val="00876653"/>
    <w:rsid w:val="00890AE7"/>
    <w:rsid w:val="00891ACF"/>
    <w:rsid w:val="00894D7B"/>
    <w:rsid w:val="008963E4"/>
    <w:rsid w:val="008A0231"/>
    <w:rsid w:val="008A0370"/>
    <w:rsid w:val="008B56E8"/>
    <w:rsid w:val="008C45AC"/>
    <w:rsid w:val="008D3596"/>
    <w:rsid w:val="008F1FF0"/>
    <w:rsid w:val="008F488C"/>
    <w:rsid w:val="00905B03"/>
    <w:rsid w:val="00914810"/>
    <w:rsid w:val="00926DD7"/>
    <w:rsid w:val="00961503"/>
    <w:rsid w:val="00967BC5"/>
    <w:rsid w:val="009800F6"/>
    <w:rsid w:val="00995033"/>
    <w:rsid w:val="009A08B0"/>
    <w:rsid w:val="009B159B"/>
    <w:rsid w:val="009B51D6"/>
    <w:rsid w:val="009D6550"/>
    <w:rsid w:val="009E1581"/>
    <w:rsid w:val="009E600D"/>
    <w:rsid w:val="009F4AAE"/>
    <w:rsid w:val="00A25A68"/>
    <w:rsid w:val="00A6013E"/>
    <w:rsid w:val="00A6493C"/>
    <w:rsid w:val="00A74C07"/>
    <w:rsid w:val="00A75FE4"/>
    <w:rsid w:val="00A8763E"/>
    <w:rsid w:val="00A97EB6"/>
    <w:rsid w:val="00AA4240"/>
    <w:rsid w:val="00AB26AE"/>
    <w:rsid w:val="00AC21BB"/>
    <w:rsid w:val="00AD3BFB"/>
    <w:rsid w:val="00AD3DAD"/>
    <w:rsid w:val="00AF357B"/>
    <w:rsid w:val="00AF5547"/>
    <w:rsid w:val="00B13508"/>
    <w:rsid w:val="00B150D5"/>
    <w:rsid w:val="00B21920"/>
    <w:rsid w:val="00B24625"/>
    <w:rsid w:val="00B37786"/>
    <w:rsid w:val="00B76723"/>
    <w:rsid w:val="00B8145B"/>
    <w:rsid w:val="00B86725"/>
    <w:rsid w:val="00BA2AEA"/>
    <w:rsid w:val="00BA4AC4"/>
    <w:rsid w:val="00BB2954"/>
    <w:rsid w:val="00BF1316"/>
    <w:rsid w:val="00BF3851"/>
    <w:rsid w:val="00C2250D"/>
    <w:rsid w:val="00C503E8"/>
    <w:rsid w:val="00C652DE"/>
    <w:rsid w:val="00C705B7"/>
    <w:rsid w:val="00C757CD"/>
    <w:rsid w:val="00C76F25"/>
    <w:rsid w:val="00C85250"/>
    <w:rsid w:val="00C92270"/>
    <w:rsid w:val="00CB0D4B"/>
    <w:rsid w:val="00CE69EE"/>
    <w:rsid w:val="00CE6CBD"/>
    <w:rsid w:val="00CF51EC"/>
    <w:rsid w:val="00CF5DE5"/>
    <w:rsid w:val="00D241A1"/>
    <w:rsid w:val="00D55C5A"/>
    <w:rsid w:val="00D82E39"/>
    <w:rsid w:val="00D87EC8"/>
    <w:rsid w:val="00DA380A"/>
    <w:rsid w:val="00DA509C"/>
    <w:rsid w:val="00DB28C1"/>
    <w:rsid w:val="00DD243C"/>
    <w:rsid w:val="00DD613F"/>
    <w:rsid w:val="00DD725C"/>
    <w:rsid w:val="00DE0250"/>
    <w:rsid w:val="00E028ED"/>
    <w:rsid w:val="00E07C28"/>
    <w:rsid w:val="00E14E3E"/>
    <w:rsid w:val="00E20152"/>
    <w:rsid w:val="00E35636"/>
    <w:rsid w:val="00E42A38"/>
    <w:rsid w:val="00E6097D"/>
    <w:rsid w:val="00E8064F"/>
    <w:rsid w:val="00E83791"/>
    <w:rsid w:val="00E92AD4"/>
    <w:rsid w:val="00EA59D9"/>
    <w:rsid w:val="00EB34B5"/>
    <w:rsid w:val="00EC0172"/>
    <w:rsid w:val="00EC4C2D"/>
    <w:rsid w:val="00EE1DF3"/>
    <w:rsid w:val="00EF0647"/>
    <w:rsid w:val="00EF670D"/>
    <w:rsid w:val="00F00D47"/>
    <w:rsid w:val="00F04FEF"/>
    <w:rsid w:val="00F220CF"/>
    <w:rsid w:val="00F318AF"/>
    <w:rsid w:val="00F449C8"/>
    <w:rsid w:val="00F44D84"/>
    <w:rsid w:val="00F522BB"/>
    <w:rsid w:val="00F86CF3"/>
    <w:rsid w:val="00F97B2A"/>
    <w:rsid w:val="00FA54CC"/>
    <w:rsid w:val="00FB0581"/>
    <w:rsid w:val="00FB1A5F"/>
    <w:rsid w:val="00FF3398"/>
    <w:rsid w:val="00FF3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A622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62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C08E46F6001E44A80FA2AA80260DE1" ma:contentTypeVersion="10" ma:contentTypeDescription="Create a new document." ma:contentTypeScope="" ma:versionID="b4f6d0f3a8ef53720e102af2c43691cb">
  <xsd:schema xmlns:xsd="http://www.w3.org/2001/XMLSchema" xmlns:xs="http://www.w3.org/2001/XMLSchema" xmlns:p="http://schemas.microsoft.com/office/2006/metadata/properties" xmlns:ns2="cbde02a2-406c-407c-ab3b-d81f71e8ebcb" targetNamespace="http://schemas.microsoft.com/office/2006/metadata/properties" ma:root="true" ma:fieldsID="93012eedef19bed46d88f23d8ce093ce" ns2:_="">
    <xsd:import namespace="cbde02a2-406c-407c-ab3b-d81f71e8e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de02a2-406c-407c-ab3b-d81f71e8eb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EBB5A0-9A49-4C3A-BF4D-DCF8A65E88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de02a2-406c-407c-ab3b-d81f71e8eb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3D932F-5ED1-43F9-B986-F0575FF3CC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7410F0-DB9A-4465-B456-ADCB73376D8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4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Rosillo Sr., Adan</cp:lastModifiedBy>
  <cp:revision>79</cp:revision>
  <dcterms:created xsi:type="dcterms:W3CDTF">2021-02-16T16:25:00Z</dcterms:created>
  <dcterms:modified xsi:type="dcterms:W3CDTF">2021-06-16T22:16:00Z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0x01010055C08E46F6001E44A80FA2AA80260DE1</vt:lpwstr>
  </property>
</Properties>
</file>